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104bis</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216474</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10 </w:t>
      </w:r>
      <w:r>
        <w:rPr>
          <w:rFonts w:ascii="Arial" w:hAnsi="Arial" w:cs="Arial"/>
          <w:b/>
          <w:bCs/>
          <w:sz w:val="24"/>
          <w:szCs w:val="24"/>
        </w:rPr>
        <w:t>–</w:t>
      </w:r>
      <w:r>
        <w:rPr>
          <w:rFonts w:hint="eastAsia" w:ascii="Arial" w:hAnsi="Arial" w:eastAsia="宋体" w:cs="Arial"/>
          <w:b/>
          <w:bCs/>
          <w:sz w:val="24"/>
          <w:szCs w:val="24"/>
          <w:lang w:val="en-US" w:eastAsia="zh-CN"/>
        </w:rPr>
        <w:t xml:space="preserve"> 19</w:t>
      </w:r>
      <w:r>
        <w:rPr>
          <w:rFonts w:ascii="Arial" w:hAnsi="Arial" w:cs="Arial"/>
          <w:b/>
          <w:bCs/>
          <w:sz w:val="24"/>
          <w:szCs w:val="24"/>
        </w:rPr>
        <w:t xml:space="preserve"> </w:t>
      </w:r>
      <w:r>
        <w:rPr>
          <w:rFonts w:hint="eastAsia" w:ascii="Arial" w:hAnsi="Arial" w:eastAsia="宋体" w:cs="Arial"/>
          <w:b/>
          <w:bCs/>
          <w:sz w:val="24"/>
          <w:szCs w:val="24"/>
          <w:lang w:val="en-US" w:eastAsia="zh-CN"/>
        </w:rPr>
        <w:t>Oct</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general aspects on RRM core requirements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6.8.3.1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 xml:space="preserve">In last RAN4 meeting, RAN4 has spread extensive discussion around simultaneous multi-panel/multi-beam reception and some high-level agreements were approved in [2]. In this document, we provide our further analysis focus on the general RRM aspects.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oriented toward single-panel UE in Rel-15.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and Rel-17, in order to support multi-TRP scenario, some enhancements for receiving beam/panel were achieved:</w:t>
      </w:r>
    </w:p>
    <w:p>
      <w:pPr>
        <w:numPr>
          <w:ilvl w:val="0"/>
          <w:numId w:val="6"/>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6"/>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 support of FR2 CA with IBM and CBM with simultaneous DL reception on different component carriers was defined. For the UE capable of IBM, actually such UE has the capability of DL simultaneous reception on different UE panels/RF chains using different beams.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1"/>
          <w:szCs w:val="21"/>
          <w:lang w:val="en-US" w:eastAsia="zh-CN"/>
        </w:rPr>
        <w:t xml:space="preserve">However, no matter Rel-15 or Rel-16/17, not any enhanced RAN4 requirements were defined for FR2 UEs capable of simultaneous multi-panel/beam reception.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numPr>
          <w:ilvl w:val="0"/>
          <w:numId w:val="0"/>
        </w:numPr>
        <w:rPr>
          <w:rFonts w:hint="eastAsia"/>
          <w:lang w:val="en-US" w:eastAsia="zh-CN"/>
        </w:rPr>
      </w:pPr>
      <w:r>
        <w:rPr>
          <w:rFonts w:hint="eastAsia"/>
          <w:lang w:val="en-US" w:eastAsia="zh-CN"/>
        </w:rPr>
        <w:t>For RRM impacts caused by simultaneous DL reception from different directions with different QCL TypeD RSs on a single component carrier, we provide our analysis as bellow.</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last meeting, several general issues were referred to and multiple of them are still suspending. We give our analysis around these issues.</w:t>
      </w: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Scenarios for this WI:</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To our understand, the main focus would be measurement requirements enhancement since of simultaneous multi-TRP transmissions with respective QCL-typeD. While referring to multi-TRP, RAN1 has the concept of intra-cell mTRP in Rel-16 and inter-cell mTRP in Rel-17. The obvious difference between the two scenarios is whether such mTRPs share a same PCI or not. Referring to the distance between two TRPs, for intra-cell mTRP, the distance between two TRPs is within one cell. However for inter-cell mTRP, the distance between two TRPs is the inter-cell distance like. Both intra-cell mTRP and inter-cell mTRP are in the scope of this WI. So the RRM enhancements should be considered for both intra-cell and inter-cell mTRP.</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Both intra-cell and inter-cell mTRP are within the scope of this WI. </w:t>
      </w:r>
    </w:p>
    <w:p>
      <w:pPr>
        <w:pStyle w:val="8"/>
        <w:rPr>
          <w:rFonts w:hint="eastAsia" w:eastAsia="宋体" w:cs="Times New Roman"/>
          <w:b/>
          <w:bCs/>
          <w:color w:val="auto"/>
          <w:sz w:val="20"/>
          <w:szCs w:val="20"/>
          <w:highlight w:val="none"/>
          <w:lang w:val="en-US" w:eastAsia="zh-CN" w:bidi="ar-SA"/>
        </w:rPr>
      </w:pP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Direction separation of beam pairs:</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 xml:space="preserve">Respect to the </w:t>
      </w:r>
      <w:r>
        <w:rPr>
          <w:lang w:val="en-US"/>
        </w:rPr>
        <w:t>simultaneous DL reception from different directions with different QCL TypeD RSs</w:t>
      </w:r>
      <w:r>
        <w:rPr>
          <w:rFonts w:hint="eastAsia" w:eastAsia="宋体"/>
          <w:lang w:val="en-US" w:eastAsia="zh-CN"/>
        </w:rPr>
        <w:t xml:space="preserve">, how to interpret </w:t>
      </w:r>
      <w:r>
        <w:rPr>
          <w:rFonts w:hint="default" w:eastAsia="宋体"/>
          <w:lang w:val="en-US" w:eastAsia="zh-CN"/>
        </w:rPr>
        <w:t>‘</w:t>
      </w:r>
      <w:r>
        <w:rPr>
          <w:rFonts w:hint="eastAsia" w:eastAsia="宋体"/>
          <w:lang w:val="en-US" w:eastAsia="zh-CN"/>
        </w:rPr>
        <w:t>different directions</w:t>
      </w:r>
      <w:r>
        <w:rPr>
          <w:rFonts w:hint="default" w:eastAsia="宋体"/>
          <w:lang w:val="en-US" w:eastAsia="zh-CN"/>
        </w:rPr>
        <w:t>’</w:t>
      </w:r>
      <w:r>
        <w:rPr>
          <w:rFonts w:hint="eastAsia" w:eastAsia="宋体"/>
          <w:lang w:val="en-US" w:eastAsia="zh-CN"/>
        </w:rPr>
        <w:t>, which should be clarified. In [3], multiple assumptions were provided and analyzed., referring to the following cases.</w:t>
      </w:r>
    </w:p>
    <w:p>
      <w:pPr>
        <w:pStyle w:val="8"/>
        <w:jc w:val="center"/>
      </w:pPr>
      <w:r>
        <w:drawing>
          <wp:inline distT="0" distB="0" distL="114300" distR="114300">
            <wp:extent cx="2817495" cy="1021080"/>
            <wp:effectExtent l="0" t="0" r="190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5"/>
                    <a:stretch>
                      <a:fillRect/>
                    </a:stretch>
                  </pic:blipFill>
                  <pic:spPr>
                    <a:xfrm>
                      <a:off x="0" y="0"/>
                      <a:ext cx="2817495" cy="1021080"/>
                    </a:xfrm>
                    <a:prstGeom prst="rect">
                      <a:avLst/>
                    </a:prstGeom>
                    <a:noFill/>
                    <a:ln>
                      <a:noFill/>
                    </a:ln>
                  </pic:spPr>
                </pic:pic>
              </a:graphicData>
            </a:graphic>
          </wp:inline>
        </w:drawing>
      </w:r>
    </w:p>
    <w:p>
      <w:pPr>
        <w:pStyle w:val="8"/>
        <w:jc w:val="center"/>
        <w:rPr>
          <w:b/>
          <w:bCs/>
          <w:lang w:val="en-GB"/>
        </w:rPr>
      </w:pPr>
      <w:r>
        <w:rPr>
          <w:b/>
          <w:bCs/>
        </w:rPr>
        <w:t>Figure 1: Example deployment, Scenario A</w:t>
      </w:r>
      <w:r>
        <w:rPr>
          <w:b/>
          <w:bCs/>
          <w:lang w:val="en-GB"/>
        </w:rPr>
        <w:t>.</w:t>
      </w:r>
    </w:p>
    <w:p>
      <w:pPr>
        <w:pStyle w:val="8"/>
      </w:pPr>
      <w:r>
        <w:drawing>
          <wp:inline distT="0" distB="0" distL="114300" distR="114300">
            <wp:extent cx="5753100" cy="1109345"/>
            <wp:effectExtent l="0" t="0" r="7620" b="317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6"/>
                    <a:stretch>
                      <a:fillRect/>
                    </a:stretch>
                  </pic:blipFill>
                  <pic:spPr>
                    <a:xfrm>
                      <a:off x="0" y="0"/>
                      <a:ext cx="5753100" cy="1109345"/>
                    </a:xfrm>
                    <a:prstGeom prst="rect">
                      <a:avLst/>
                    </a:prstGeom>
                    <a:noFill/>
                    <a:ln>
                      <a:noFill/>
                    </a:ln>
                  </pic:spPr>
                </pic:pic>
              </a:graphicData>
            </a:graphic>
          </wp:inline>
        </w:drawing>
      </w:r>
    </w:p>
    <w:p>
      <w:pPr>
        <w:pStyle w:val="8"/>
        <w:jc w:val="center"/>
        <w:rPr>
          <w:b/>
          <w:bCs/>
          <w:lang w:val="en-GB"/>
        </w:rPr>
      </w:pPr>
      <w:r>
        <w:rPr>
          <w:b/>
          <w:bCs/>
        </w:rPr>
        <w:t xml:space="preserve">Figure </w:t>
      </w:r>
      <w:r>
        <w:rPr>
          <w:b/>
          <w:bCs/>
          <w:lang w:val="en-GB"/>
        </w:rPr>
        <w:t>2</w:t>
      </w:r>
      <w:r>
        <w:rPr>
          <w:b/>
          <w:bCs/>
        </w:rPr>
        <w:t>: Example deployment, Scenario B</w:t>
      </w:r>
      <w:r>
        <w:rPr>
          <w:b/>
          <w:bCs/>
          <w:lang w:val="en-GB"/>
        </w:rPr>
        <w:t>.</w:t>
      </w:r>
    </w:p>
    <w:p>
      <w:pPr>
        <w:pStyle w:val="8"/>
        <w:jc w:val="center"/>
      </w:pPr>
      <w:r>
        <w:drawing>
          <wp:inline distT="0" distB="0" distL="114300" distR="114300">
            <wp:extent cx="2581275" cy="1259840"/>
            <wp:effectExtent l="0" t="0" r="9525" b="508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7"/>
                    <a:stretch>
                      <a:fillRect/>
                    </a:stretch>
                  </pic:blipFill>
                  <pic:spPr>
                    <a:xfrm>
                      <a:off x="0" y="0"/>
                      <a:ext cx="2581275" cy="1259840"/>
                    </a:xfrm>
                    <a:prstGeom prst="rect">
                      <a:avLst/>
                    </a:prstGeom>
                    <a:noFill/>
                    <a:ln>
                      <a:noFill/>
                    </a:ln>
                  </pic:spPr>
                </pic:pic>
              </a:graphicData>
            </a:graphic>
          </wp:inline>
        </w:drawing>
      </w:r>
    </w:p>
    <w:p>
      <w:pPr>
        <w:pStyle w:val="8"/>
        <w:jc w:val="center"/>
        <w:rPr>
          <w:b/>
          <w:bCs/>
          <w:lang w:val="en-GB"/>
        </w:rPr>
      </w:pPr>
      <w:r>
        <w:rPr>
          <w:b/>
          <w:bCs/>
        </w:rPr>
        <w:t xml:space="preserve">Figure </w:t>
      </w:r>
      <w:r>
        <w:rPr>
          <w:b/>
          <w:bCs/>
          <w:lang w:val="en-GB"/>
        </w:rPr>
        <w:t>3</w:t>
      </w:r>
      <w:r>
        <w:rPr>
          <w:b/>
          <w:bCs/>
        </w:rPr>
        <w:t>: Example deployment, Scenario C</w:t>
      </w:r>
      <w:r>
        <w:rPr>
          <w:b/>
          <w:bCs/>
          <w:lang w:val="en-GB"/>
        </w:rPr>
        <w:t>.</w:t>
      </w:r>
    </w:p>
    <w:p>
      <w:pPr>
        <w:pStyle w:val="8"/>
        <w:jc w:val="center"/>
        <w:rPr>
          <w:b/>
          <w:bCs/>
        </w:rPr>
      </w:pPr>
      <w:r>
        <w:drawing>
          <wp:inline distT="0" distB="0" distL="114300" distR="114300">
            <wp:extent cx="5673090" cy="970280"/>
            <wp:effectExtent l="0" t="0" r="11430" b="508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5673090" cy="970280"/>
                    </a:xfrm>
                    <a:prstGeom prst="rect">
                      <a:avLst/>
                    </a:prstGeom>
                    <a:noFill/>
                    <a:ln>
                      <a:noFill/>
                    </a:ln>
                  </pic:spPr>
                </pic:pic>
              </a:graphicData>
            </a:graphic>
          </wp:inline>
        </w:drawing>
      </w:r>
    </w:p>
    <w:p>
      <w:pPr>
        <w:pStyle w:val="8"/>
        <w:jc w:val="center"/>
        <w:rPr>
          <w:b/>
          <w:bCs/>
        </w:rPr>
      </w:pPr>
      <w:r>
        <w:rPr>
          <w:b/>
          <w:bCs/>
        </w:rPr>
        <w:t xml:space="preserve">Figure </w:t>
      </w:r>
      <w:r>
        <w:rPr>
          <w:b/>
          <w:bCs/>
          <w:lang w:val="en-GB"/>
        </w:rPr>
        <w:t>4</w:t>
      </w:r>
      <w:r>
        <w:rPr>
          <w:b/>
          <w:bCs/>
        </w:rPr>
        <w:t>: Example deployment, Scenario D</w:t>
      </w:r>
      <w:r>
        <w:rPr>
          <w:b/>
          <w:bCs/>
          <w:lang w:val="en-GB"/>
        </w:rPr>
        <w:t>.</w:t>
      </w:r>
    </w:p>
    <w:p>
      <w:pPr>
        <w:pStyle w:val="8"/>
        <w:jc w:val="center"/>
      </w:pPr>
      <w:r>
        <w:drawing>
          <wp:inline distT="0" distB="0" distL="114300" distR="114300">
            <wp:extent cx="2463800" cy="908685"/>
            <wp:effectExtent l="0" t="0" r="5080" b="5715"/>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9"/>
                    <a:stretch>
                      <a:fillRect/>
                    </a:stretch>
                  </pic:blipFill>
                  <pic:spPr>
                    <a:xfrm>
                      <a:off x="0" y="0"/>
                      <a:ext cx="2463800" cy="908685"/>
                    </a:xfrm>
                    <a:prstGeom prst="rect">
                      <a:avLst/>
                    </a:prstGeom>
                    <a:noFill/>
                    <a:ln>
                      <a:noFill/>
                    </a:ln>
                  </pic:spPr>
                </pic:pic>
              </a:graphicData>
            </a:graphic>
          </wp:inline>
        </w:drawing>
      </w:r>
    </w:p>
    <w:p>
      <w:pPr>
        <w:pStyle w:val="8"/>
        <w:jc w:val="center"/>
        <w:rPr>
          <w:b/>
          <w:bCs/>
          <w:lang w:val="en-GB"/>
        </w:rPr>
      </w:pPr>
      <w:r>
        <w:rPr>
          <w:b/>
          <w:bCs/>
        </w:rPr>
        <w:t xml:space="preserve">Figure </w:t>
      </w:r>
      <w:r>
        <w:rPr>
          <w:b/>
          <w:bCs/>
          <w:lang w:val="en-GB"/>
        </w:rPr>
        <w:t>5</w:t>
      </w:r>
      <w:r>
        <w:rPr>
          <w:b/>
          <w:bCs/>
        </w:rPr>
        <w:t xml:space="preserve">: Example deployment, Scenario </w:t>
      </w:r>
      <w:r>
        <w:rPr>
          <w:b/>
          <w:bCs/>
          <w:lang w:val="en-GB"/>
        </w:rPr>
        <w:t>E.</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lang w:val="en-US" w:eastAsia="zh-CN"/>
        </w:rPr>
        <w:t>In our opinion, to enhance the coverage, when multiple panels are equipped, they would provide all beam directions coverage, where each one panel provide partial beam directions coverage. So as to enlarge the coverage, the beam directions covered by each of two panels should be non-overlapped or only very limited overlapped. Based on such understanding, we believe the examples shown in Figure 2, 3, 4 are more attractive cases. If UE needs to receive two RSs with AoA directions close to each other simultaneously, interference would exist. So identifying the direction separation is necessary.</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2: To avoid interference and enlarge the beam directions coverage via multi-panel simultaneous reception, the coverage of beam directions of each panel are non-overlapped or only limited partial overlapped. Some extent of direction separation between the two reception should be guaranteed.</w:t>
      </w:r>
    </w:p>
    <w:p>
      <w:pPr>
        <w:numPr>
          <w:ilvl w:val="0"/>
          <w:numId w:val="0"/>
        </w:numPr>
        <w:rPr>
          <w:rFonts w:hint="default"/>
          <w:lang w:val="en-US" w:eastAsia="zh-CN"/>
        </w:rPr>
      </w:pPr>
    </w:p>
    <w:p>
      <w:pPr>
        <w:pStyle w:val="8"/>
        <w:tabs>
          <w:tab w:val="left" w:pos="226"/>
          <w:tab w:val="left" w:pos="284"/>
          <w:tab w:val="left" w:pos="5103"/>
        </w:tabs>
        <w:snapToGrid w:val="0"/>
        <w:spacing w:before="156" w:beforeLines="50"/>
        <w:rPr>
          <w:rFonts w:hint="eastAsia" w:eastAsia="宋体"/>
          <w:b/>
          <w:bCs/>
          <w:color w:val="auto"/>
          <w:sz w:val="21"/>
          <w:szCs w:val="21"/>
          <w:u w:val="single"/>
          <w:lang w:val="en-US" w:eastAsia="zh-CN"/>
        </w:rPr>
      </w:pPr>
      <w:r>
        <w:rPr>
          <w:rFonts w:hint="eastAsia" w:eastAsia="宋体"/>
          <w:b/>
          <w:bCs/>
          <w:color w:val="auto"/>
          <w:sz w:val="21"/>
          <w:szCs w:val="21"/>
          <w:u w:val="single"/>
          <w:lang w:val="en-US" w:eastAsia="zh-CN"/>
        </w:rPr>
        <w:t xml:space="preserve">How to interpret </w:t>
      </w:r>
      <w:r>
        <w:rPr>
          <w:rFonts w:hint="default" w:eastAsia="宋体"/>
          <w:b/>
          <w:bCs/>
          <w:color w:val="auto"/>
          <w:sz w:val="21"/>
          <w:szCs w:val="21"/>
          <w:u w:val="single"/>
          <w:lang w:val="en-US" w:eastAsia="zh-CN"/>
        </w:rPr>
        <w:t>‘</w:t>
      </w:r>
      <w:r>
        <w:rPr>
          <w:rFonts w:hint="eastAsia" w:eastAsia="宋体"/>
          <w:b/>
          <w:bCs/>
          <w:color w:val="auto"/>
          <w:sz w:val="21"/>
          <w:szCs w:val="21"/>
          <w:u w:val="single"/>
          <w:lang w:val="en-US" w:eastAsia="zh-CN"/>
        </w:rPr>
        <w:t>simultaneous DL reception</w:t>
      </w:r>
      <w:r>
        <w:rPr>
          <w:rFonts w:hint="default" w:eastAsia="宋体"/>
          <w:b/>
          <w:bCs/>
          <w:color w:val="auto"/>
          <w:sz w:val="21"/>
          <w:szCs w:val="21"/>
          <w:u w:val="single"/>
          <w:lang w:val="en-US" w:eastAsia="zh-CN"/>
        </w:rPr>
        <w:t>’</w:t>
      </w:r>
      <w:r>
        <w:rPr>
          <w:rFonts w:hint="eastAsia" w:eastAsia="宋体"/>
          <w:b/>
          <w:bCs/>
          <w:color w:val="auto"/>
          <w:sz w:val="21"/>
          <w:szCs w:val="21"/>
          <w:u w:val="single"/>
          <w:lang w:val="en-US" w:eastAsia="zh-CN"/>
        </w:rPr>
        <w:t>:</w:t>
      </w:r>
    </w:p>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When we say simultaneous DL reception, which means reception from both panels with independent beam direction respectively. Based on common understanding, we usually believe coarse beam is used for RRM measurement so as to train the Rx beam, while fine beam is used for L1 measurement and data reception so as to realize better beam gain. Referring to the possible combination between coarse beam and fine beam, we believe under the assumption of non-overlapped or very limited partial overlapped between the beam direction coverage of each panel, all following candidate combinations are possible: </w:t>
      </w:r>
    </w:p>
    <w:p>
      <w:pPr>
        <w:numPr>
          <w:ilvl w:val="0"/>
          <w:numId w:val="7"/>
        </w:numPr>
        <w:rPr>
          <w:rFonts w:hint="eastAsia"/>
          <w:lang w:val="en-US" w:eastAsia="zh-CN"/>
        </w:rPr>
      </w:pPr>
      <w:r>
        <w:rPr>
          <w:rFonts w:hint="eastAsia"/>
          <w:lang w:val="en-US" w:eastAsia="zh-CN"/>
        </w:rPr>
        <w:t xml:space="preserve">Simultaneous </w:t>
      </w:r>
      <w:r>
        <w:rPr>
          <w:rFonts w:hint="eastAsia"/>
          <w:b/>
          <w:bCs/>
          <w:lang w:val="en-US" w:eastAsia="zh-CN"/>
        </w:rPr>
        <w:t xml:space="preserve">fine </w:t>
      </w:r>
      <w:r>
        <w:rPr>
          <w:rFonts w:hint="eastAsia"/>
          <w:lang w:val="en-US" w:eastAsia="zh-CN"/>
        </w:rPr>
        <w:t xml:space="preserve">beam reception from panel A and </w:t>
      </w:r>
      <w:r>
        <w:rPr>
          <w:rFonts w:hint="eastAsia"/>
          <w:b/>
          <w:bCs/>
          <w:lang w:val="en-US" w:eastAsia="zh-CN"/>
        </w:rPr>
        <w:t xml:space="preserve">fine </w:t>
      </w:r>
      <w:r>
        <w:rPr>
          <w:rFonts w:hint="eastAsia"/>
          <w:lang w:val="en-US" w:eastAsia="zh-CN"/>
        </w:rPr>
        <w:t>beam reception from panel B</w:t>
      </w:r>
    </w:p>
    <w:p>
      <w:pPr>
        <w:numPr>
          <w:ilvl w:val="0"/>
          <w:numId w:val="7"/>
        </w:numPr>
        <w:rPr>
          <w:rFonts w:hint="eastAsia"/>
          <w:lang w:val="en-US" w:eastAsia="zh-CN"/>
        </w:rPr>
      </w:pPr>
      <w:r>
        <w:rPr>
          <w:rFonts w:hint="eastAsia"/>
          <w:lang w:val="en-US" w:eastAsia="zh-CN"/>
        </w:rPr>
        <w:t xml:space="preserve">Simultaneous </w:t>
      </w:r>
      <w:r>
        <w:rPr>
          <w:rFonts w:hint="eastAsia"/>
          <w:b/>
          <w:bCs/>
          <w:lang w:val="en-US" w:eastAsia="zh-CN"/>
        </w:rPr>
        <w:t xml:space="preserve">coarse </w:t>
      </w:r>
      <w:r>
        <w:rPr>
          <w:rFonts w:hint="eastAsia"/>
          <w:lang w:val="en-US" w:eastAsia="zh-CN"/>
        </w:rPr>
        <w:t xml:space="preserve">beam reception from panel A and </w:t>
      </w:r>
      <w:r>
        <w:rPr>
          <w:rFonts w:hint="eastAsia"/>
          <w:b/>
          <w:bCs/>
          <w:lang w:val="en-US" w:eastAsia="zh-CN"/>
        </w:rPr>
        <w:t xml:space="preserve">coarse </w:t>
      </w:r>
      <w:r>
        <w:rPr>
          <w:rFonts w:hint="eastAsia"/>
          <w:lang w:val="en-US" w:eastAsia="zh-CN"/>
        </w:rPr>
        <w:t>beam reception from panel B</w:t>
      </w:r>
    </w:p>
    <w:p>
      <w:pPr>
        <w:numPr>
          <w:ilvl w:val="0"/>
          <w:numId w:val="7"/>
        </w:numPr>
        <w:rPr>
          <w:rFonts w:hint="eastAsia"/>
          <w:lang w:val="en-US" w:eastAsia="zh-CN"/>
        </w:rPr>
      </w:pPr>
      <w:r>
        <w:rPr>
          <w:rFonts w:hint="eastAsia"/>
          <w:lang w:val="en-US" w:eastAsia="zh-CN"/>
        </w:rPr>
        <w:t xml:space="preserve">Simultaneous </w:t>
      </w:r>
      <w:r>
        <w:rPr>
          <w:rFonts w:hint="eastAsia"/>
          <w:b/>
          <w:bCs/>
          <w:lang w:val="en-US" w:eastAsia="zh-CN"/>
        </w:rPr>
        <w:t xml:space="preserve">fine </w:t>
      </w:r>
      <w:r>
        <w:rPr>
          <w:rFonts w:hint="eastAsia"/>
          <w:lang w:val="en-US" w:eastAsia="zh-CN"/>
        </w:rPr>
        <w:t xml:space="preserve">beam reception from panel A and </w:t>
      </w:r>
      <w:r>
        <w:rPr>
          <w:rFonts w:hint="eastAsia"/>
          <w:b/>
          <w:bCs/>
          <w:lang w:val="en-US" w:eastAsia="zh-CN"/>
        </w:rPr>
        <w:t xml:space="preserve">coarse </w:t>
      </w:r>
      <w:r>
        <w:rPr>
          <w:rFonts w:hint="eastAsia"/>
          <w:lang w:val="en-US" w:eastAsia="zh-CN"/>
        </w:rPr>
        <w:t>beam reception from panel B</w:t>
      </w:r>
    </w:p>
    <w:p>
      <w:pPr>
        <w:numPr>
          <w:ilvl w:val="0"/>
          <w:numId w:val="7"/>
        </w:numPr>
        <w:rPr>
          <w:rFonts w:hint="default"/>
          <w:lang w:val="en-US" w:eastAsia="zh-CN"/>
        </w:rPr>
      </w:pPr>
      <w:r>
        <w:rPr>
          <w:rFonts w:hint="eastAsia"/>
          <w:lang w:val="en-US" w:eastAsia="zh-CN"/>
        </w:rPr>
        <w:t xml:space="preserve">Simultaneous </w:t>
      </w:r>
      <w:r>
        <w:rPr>
          <w:rFonts w:hint="eastAsia"/>
          <w:b/>
          <w:bCs/>
          <w:lang w:val="en-US" w:eastAsia="zh-CN"/>
        </w:rPr>
        <w:t xml:space="preserve">coarse </w:t>
      </w:r>
      <w:r>
        <w:rPr>
          <w:rFonts w:hint="eastAsia"/>
          <w:lang w:val="en-US" w:eastAsia="zh-CN"/>
        </w:rPr>
        <w:t xml:space="preserve">beam reception from panel A and </w:t>
      </w:r>
      <w:r>
        <w:rPr>
          <w:rFonts w:hint="eastAsia"/>
          <w:b/>
          <w:bCs/>
          <w:lang w:val="en-US" w:eastAsia="zh-CN"/>
        </w:rPr>
        <w:t xml:space="preserve">fine </w:t>
      </w:r>
      <w:r>
        <w:rPr>
          <w:rFonts w:hint="eastAsia"/>
          <w:lang w:val="en-US" w:eastAsia="zh-CN"/>
        </w:rPr>
        <w:t>beam reception from panel B</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Under the assumption of non-overlapped or very limited partial overlapped between the beam direction coverage of each panel, all following candidate combinations are possible: </w:t>
      </w:r>
    </w:p>
    <w:p>
      <w:pPr>
        <w:numPr>
          <w:ilvl w:val="0"/>
          <w:numId w:val="8"/>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fine beam reception from panel B</w:t>
      </w:r>
    </w:p>
    <w:p>
      <w:pPr>
        <w:numPr>
          <w:ilvl w:val="0"/>
          <w:numId w:val="8"/>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coarse beam reception from panel A and coarse beam reception from panel B</w:t>
      </w:r>
    </w:p>
    <w:p>
      <w:pPr>
        <w:numPr>
          <w:ilvl w:val="0"/>
          <w:numId w:val="8"/>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coarse beam reception from panel B</w:t>
      </w:r>
    </w:p>
    <w:p>
      <w:pPr>
        <w:numPr>
          <w:ilvl w:val="0"/>
          <w:numId w:val="8"/>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coarse beam reception from panel A and fine beam reception from panel B</w:t>
      </w:r>
    </w:p>
    <w:p>
      <w:pPr>
        <w:pStyle w:val="8"/>
        <w:numPr>
          <w:ilvl w:val="0"/>
          <w:numId w:val="0"/>
        </w:numPr>
        <w:rPr>
          <w:rFonts w:hint="default"/>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core requirements for simultaneous DL reception from different directions</w:t>
      </w:r>
      <w:r>
        <w:rPr>
          <w:rFonts w:eastAsia="宋体"/>
          <w:bCs/>
          <w:color w:val="auto"/>
          <w:sz w:val="20"/>
          <w:szCs w:val="20"/>
          <w:lang w:val="en-GB" w:eastAsia="zh-CN"/>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Both intra-cell and inter-cell mTRP are within the scope of this WI. </w:t>
      </w:r>
    </w:p>
    <w:p>
      <w:pPr>
        <w:pStyle w:val="8"/>
        <w:tabs>
          <w:tab w:val="left" w:pos="226"/>
          <w:tab w:val="left" w:pos="284"/>
          <w:tab w:val="left" w:pos="5103"/>
        </w:tabs>
        <w:snapToGrid w:val="0"/>
        <w:spacing w:before="156" w:beforeLines="50"/>
        <w:rPr>
          <w:rFonts w:hint="default" w:eastAsia="宋体"/>
          <w:lang w:val="en-US" w:eastAsia="zh-CN"/>
        </w:rPr>
      </w:pPr>
      <w:r>
        <w:rPr>
          <w:rFonts w:hint="eastAsia" w:eastAsia="宋体" w:cs="Times New Roman"/>
          <w:b/>
          <w:bCs/>
          <w:color w:val="auto"/>
          <w:sz w:val="20"/>
          <w:szCs w:val="20"/>
          <w:highlight w:val="none"/>
          <w:lang w:val="en-US" w:eastAsia="zh-CN" w:bidi="ar-SA"/>
        </w:rPr>
        <w:t>Proposal 2: To avoid interference and enlarge the beam directions coverage via multi-panel simultaneous reception, the coverage of beam directions of each panel are non-overlapped or only limited partial overlapped. Some extent of direction separation between the two reception should be guaranteed.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Under the assumption of non-overlapped or very limited partial overlapped between the beam direction coverage of each panel, all following candidate combinations are possible: </w:t>
      </w:r>
    </w:p>
    <w:p>
      <w:pPr>
        <w:numPr>
          <w:ilvl w:val="0"/>
          <w:numId w:val="9"/>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fine beam reception from panel B</w:t>
      </w:r>
    </w:p>
    <w:p>
      <w:pPr>
        <w:numPr>
          <w:ilvl w:val="0"/>
          <w:numId w:val="9"/>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coarse beam reception from panel A and coarse beam reception from panel B</w:t>
      </w:r>
    </w:p>
    <w:p>
      <w:pPr>
        <w:numPr>
          <w:ilvl w:val="0"/>
          <w:numId w:val="9"/>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fine beam reception from panel A and coarse beam reception from panel B</w:t>
      </w:r>
    </w:p>
    <w:p>
      <w:pPr>
        <w:numPr>
          <w:ilvl w:val="0"/>
          <w:numId w:val="9"/>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coarse beam reception from panel A and fine beam reception from panel B</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R4-2214344 </w:t>
      </w:r>
      <w:r>
        <w:rPr>
          <w:rFonts w:hint="default"/>
          <w:color w:val="auto"/>
          <w:highlight w:val="none"/>
          <w:lang w:val="en-US" w:eastAsia="zh-CN"/>
        </w:rPr>
        <w:t>“</w:t>
      </w:r>
      <w:r>
        <w:rPr>
          <w:rFonts w:hint="eastAsia"/>
          <w:color w:val="auto"/>
          <w:highlight w:val="none"/>
          <w:lang w:val="en-US" w:eastAsia="zh-CN"/>
        </w:rPr>
        <w:t>WF on FR2 multi-Rx RRM</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10"/>
        </w:numPr>
        <w:ind w:leftChars="0"/>
        <w:rPr>
          <w:rFonts w:hint="default" w:eastAsia="宋体"/>
          <w:color w:val="auto"/>
          <w:lang w:val="en-US" w:eastAsia="zh-CN"/>
        </w:rPr>
      </w:pPr>
      <w:r>
        <w:rPr>
          <w:rFonts w:hint="eastAsia"/>
          <w:color w:val="auto"/>
          <w:highlight w:val="none"/>
          <w:lang w:val="en-US" w:eastAsia="zh-CN"/>
        </w:rPr>
        <w:t xml:space="preserve">R4-2213957 </w:t>
      </w:r>
      <w:r>
        <w:rPr>
          <w:rFonts w:hint="default"/>
          <w:color w:val="auto"/>
          <w:highlight w:val="none"/>
          <w:lang w:val="en-US" w:eastAsia="zh-CN"/>
        </w:rPr>
        <w:t>“Discussion on general RRM issues for simultaneous DL reception from different directions”</w:t>
      </w:r>
      <w:r>
        <w:rPr>
          <w:rFonts w:hint="eastAsia"/>
          <w:color w:val="auto"/>
          <w:highlight w:val="none"/>
          <w:lang w:val="en-US" w:eastAsia="zh-CN"/>
        </w:rPr>
        <w:t>, Ericsson.</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ECA917"/>
    <w:multiLevelType w:val="singleLevel"/>
    <w:tmpl w:val="84ECA917"/>
    <w:lvl w:ilvl="0" w:tentative="0">
      <w:start w:val="1"/>
      <w:numFmt w:val="decimal"/>
      <w:suff w:val="space"/>
      <w:lvlText w:val="%1)"/>
      <w:lvlJc w:val="left"/>
    </w:lvl>
  </w:abstractNum>
  <w:abstractNum w:abstractNumId="1">
    <w:nsid w:val="A8E5EB3A"/>
    <w:multiLevelType w:val="singleLevel"/>
    <w:tmpl w:val="A8E5EB3A"/>
    <w:lvl w:ilvl="0" w:tentative="0">
      <w:start w:val="1"/>
      <w:numFmt w:val="decimal"/>
      <w:suff w:val="space"/>
      <w:lvlText w:val="[%1]"/>
      <w:lvlJc w:val="left"/>
    </w:lvl>
  </w:abstractNum>
  <w:abstractNum w:abstractNumId="2">
    <w:nsid w:val="D2D87A9D"/>
    <w:multiLevelType w:val="singleLevel"/>
    <w:tmpl w:val="D2D87A9D"/>
    <w:lvl w:ilvl="0" w:tentative="0">
      <w:start w:val="1"/>
      <w:numFmt w:val="decimal"/>
      <w:suff w:val="nothing"/>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8">
    <w:nsid w:val="5C01E15F"/>
    <w:multiLevelType w:val="singleLevel"/>
    <w:tmpl w:val="5C01E15F"/>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3"/>
  </w:num>
  <w:num w:numId="4">
    <w:abstractNumId w:val="5"/>
  </w:num>
  <w:num w:numId="5">
    <w:abstractNumId w:val="4"/>
  </w:num>
  <w:num w:numId="6">
    <w:abstractNumId w:val="7"/>
  </w:num>
  <w:num w:numId="7">
    <w:abstractNumId w:val="2"/>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97F43"/>
    <w:rsid w:val="10DE7BAE"/>
    <w:rsid w:val="11023BFD"/>
    <w:rsid w:val="110404BB"/>
    <w:rsid w:val="111C20F6"/>
    <w:rsid w:val="11ED345F"/>
    <w:rsid w:val="120774A3"/>
    <w:rsid w:val="12580C13"/>
    <w:rsid w:val="14006D19"/>
    <w:rsid w:val="1414436B"/>
    <w:rsid w:val="1481754F"/>
    <w:rsid w:val="148F5721"/>
    <w:rsid w:val="14AC57CD"/>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C85686"/>
    <w:rsid w:val="2AD04B5F"/>
    <w:rsid w:val="2B39549B"/>
    <w:rsid w:val="2BC05B2C"/>
    <w:rsid w:val="2BD617C5"/>
    <w:rsid w:val="2C112837"/>
    <w:rsid w:val="2C360608"/>
    <w:rsid w:val="2E014790"/>
    <w:rsid w:val="2EAE66A3"/>
    <w:rsid w:val="2EE77680"/>
    <w:rsid w:val="2F2F0FC8"/>
    <w:rsid w:val="301C6BB6"/>
    <w:rsid w:val="30723652"/>
    <w:rsid w:val="30766FB2"/>
    <w:rsid w:val="319708F2"/>
    <w:rsid w:val="31B14C9E"/>
    <w:rsid w:val="31FE2981"/>
    <w:rsid w:val="33C522D7"/>
    <w:rsid w:val="33F228A5"/>
    <w:rsid w:val="347C19A0"/>
    <w:rsid w:val="34807672"/>
    <w:rsid w:val="351B1E30"/>
    <w:rsid w:val="358E5935"/>
    <w:rsid w:val="35B06C6A"/>
    <w:rsid w:val="36941AA2"/>
    <w:rsid w:val="36D37423"/>
    <w:rsid w:val="379D23F9"/>
    <w:rsid w:val="37E74183"/>
    <w:rsid w:val="3A185287"/>
    <w:rsid w:val="3A1F46B8"/>
    <w:rsid w:val="3A692CD0"/>
    <w:rsid w:val="3B270929"/>
    <w:rsid w:val="3B3D5571"/>
    <w:rsid w:val="3B5D276F"/>
    <w:rsid w:val="3B673620"/>
    <w:rsid w:val="3B9A1F29"/>
    <w:rsid w:val="3CE4646B"/>
    <w:rsid w:val="3D5E7AA8"/>
    <w:rsid w:val="3D6F2596"/>
    <w:rsid w:val="405F175E"/>
    <w:rsid w:val="40C765F3"/>
    <w:rsid w:val="41C755BE"/>
    <w:rsid w:val="42F869D2"/>
    <w:rsid w:val="43553536"/>
    <w:rsid w:val="44972678"/>
    <w:rsid w:val="451632B9"/>
    <w:rsid w:val="45906394"/>
    <w:rsid w:val="45F60A50"/>
    <w:rsid w:val="46142D0C"/>
    <w:rsid w:val="46970A81"/>
    <w:rsid w:val="46B036BF"/>
    <w:rsid w:val="47282363"/>
    <w:rsid w:val="476B3528"/>
    <w:rsid w:val="47C726B0"/>
    <w:rsid w:val="49DC4EAC"/>
    <w:rsid w:val="49E55BC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7A858DB"/>
    <w:rsid w:val="67FE4166"/>
    <w:rsid w:val="68AD2162"/>
    <w:rsid w:val="68C401C3"/>
    <w:rsid w:val="69045D7F"/>
    <w:rsid w:val="693027BF"/>
    <w:rsid w:val="6968769B"/>
    <w:rsid w:val="69831B57"/>
    <w:rsid w:val="69A833BD"/>
    <w:rsid w:val="69FB3F8F"/>
    <w:rsid w:val="6A5D78D5"/>
    <w:rsid w:val="6A85354A"/>
    <w:rsid w:val="6C8E0C06"/>
    <w:rsid w:val="6D566F0F"/>
    <w:rsid w:val="6D836F72"/>
    <w:rsid w:val="6DC2026F"/>
    <w:rsid w:val="6DDE3DAF"/>
    <w:rsid w:val="6E2C7D5B"/>
    <w:rsid w:val="6E3241BE"/>
    <w:rsid w:val="6EB97A9D"/>
    <w:rsid w:val="6EF10A90"/>
    <w:rsid w:val="6FD45BF8"/>
    <w:rsid w:val="6FFF1868"/>
    <w:rsid w:val="70332195"/>
    <w:rsid w:val="71507435"/>
    <w:rsid w:val="715F4C2D"/>
    <w:rsid w:val="722F78FB"/>
    <w:rsid w:val="723D67C5"/>
    <w:rsid w:val="7250627B"/>
    <w:rsid w:val="72BF60CA"/>
    <w:rsid w:val="72F41282"/>
    <w:rsid w:val="733D0D32"/>
    <w:rsid w:val="73D411F1"/>
    <w:rsid w:val="753811DE"/>
    <w:rsid w:val="7566040A"/>
    <w:rsid w:val="757733D9"/>
    <w:rsid w:val="75A7114C"/>
    <w:rsid w:val="75BE67D4"/>
    <w:rsid w:val="75C2004C"/>
    <w:rsid w:val="75C759C1"/>
    <w:rsid w:val="760F5DAE"/>
    <w:rsid w:val="762D64F3"/>
    <w:rsid w:val="767E7EFF"/>
    <w:rsid w:val="775B4604"/>
    <w:rsid w:val="77C067C3"/>
    <w:rsid w:val="77EA64D7"/>
    <w:rsid w:val="78911E31"/>
    <w:rsid w:val="7922350F"/>
    <w:rsid w:val="792B5470"/>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2022-09-30T14:03:36Z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